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9F" w:rsidRDefault="0018289F" w:rsidP="0018289F">
      <w:pPr>
        <w:spacing w:after="120"/>
        <w:rPr>
          <w:rFonts w:ascii="Times New Roman" w:hAnsi="Times New Roman"/>
          <w:sz w:val="22"/>
        </w:rPr>
      </w:pPr>
      <w:r w:rsidRPr="0018289F">
        <w:rPr>
          <w:rFonts w:ascii="Times New Roman" w:hAnsi="Times New Roman"/>
          <w:sz w:val="22"/>
        </w:rPr>
        <w:t xml:space="preserve">P. Russell, “The Supreme Court and Federal-Provincial Relations: The Political Use of Legal Resources,” in R.D. </w:t>
      </w:r>
      <w:proofErr w:type="spellStart"/>
      <w:r w:rsidRPr="0018289F">
        <w:rPr>
          <w:rFonts w:ascii="Times New Roman" w:hAnsi="Times New Roman"/>
          <w:sz w:val="22"/>
        </w:rPr>
        <w:t>Olling</w:t>
      </w:r>
      <w:proofErr w:type="spellEnd"/>
      <w:r w:rsidRPr="0018289F">
        <w:rPr>
          <w:rFonts w:ascii="Times New Roman" w:hAnsi="Times New Roman"/>
          <w:sz w:val="22"/>
        </w:rPr>
        <w:t xml:space="preserve"> and M. </w:t>
      </w:r>
      <w:proofErr w:type="spellStart"/>
      <w:r w:rsidRPr="0018289F">
        <w:rPr>
          <w:rFonts w:ascii="Times New Roman" w:hAnsi="Times New Roman"/>
          <w:sz w:val="22"/>
        </w:rPr>
        <w:t>Westmacott</w:t>
      </w:r>
      <w:proofErr w:type="spellEnd"/>
      <w:r w:rsidRPr="0018289F">
        <w:rPr>
          <w:rFonts w:ascii="Times New Roman" w:hAnsi="Times New Roman"/>
          <w:sz w:val="22"/>
        </w:rPr>
        <w:t xml:space="preserve">, </w:t>
      </w:r>
      <w:r w:rsidRPr="0018289F">
        <w:rPr>
          <w:rFonts w:ascii="Times New Roman" w:hAnsi="Times New Roman"/>
          <w:i/>
          <w:sz w:val="22"/>
        </w:rPr>
        <w:t>Perspectives on Canadian Federalism</w:t>
      </w:r>
      <w:r>
        <w:rPr>
          <w:rFonts w:ascii="Times New Roman" w:hAnsi="Times New Roman"/>
          <w:sz w:val="22"/>
        </w:rPr>
        <w:t xml:space="preserve"> (1988)</w:t>
      </w:r>
    </w:p>
    <w:p w:rsidR="007C6116" w:rsidRDefault="0018289F" w:rsidP="0018289F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18289F" w:rsidRPr="007C6116" w:rsidRDefault="007C6116" w:rsidP="0018289F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From a quantitative perspective it appears judicial decisions have been a significant factor in federal-provincial relations. Since 1950 (when the SCC took over from JCPC as highest court) to the end of 1982, there have been 158 cases re: Canada’s original constitution and its amendments.</w:t>
      </w:r>
      <w:r w:rsidR="00F10297">
        <w:rPr>
          <w:rFonts w:ascii="Times New Roman" w:hAnsi="Times New Roman"/>
          <w:sz w:val="22"/>
        </w:rPr>
        <w:t xml:space="preserve"> Nearly all concerned divisions of power, and the volume of constitutional litigation has increased in recent years (80/158 in the last 8 years – 1975-82). Chapter is an appraisal of the SCC in </w:t>
      </w:r>
      <w:proofErr w:type="spellStart"/>
      <w:r w:rsidR="00F10297">
        <w:rPr>
          <w:rFonts w:ascii="Times New Roman" w:hAnsi="Times New Roman"/>
          <w:sz w:val="22"/>
        </w:rPr>
        <w:t>Cdn</w:t>
      </w:r>
      <w:proofErr w:type="spellEnd"/>
      <w:r w:rsidR="00F10297">
        <w:rPr>
          <w:rFonts w:ascii="Times New Roman" w:hAnsi="Times New Roman"/>
          <w:sz w:val="22"/>
        </w:rPr>
        <w:t xml:space="preserve"> federalism.</w:t>
      </w:r>
      <w:r w:rsidR="00612A5C">
        <w:rPr>
          <w:rFonts w:ascii="Times New Roman" w:hAnsi="Times New Roman"/>
          <w:sz w:val="22"/>
        </w:rPr>
        <w:t xml:space="preserve"> Argues that </w:t>
      </w:r>
      <w:r w:rsidR="00612A5C" w:rsidRPr="00612A5C">
        <w:rPr>
          <w:rFonts w:ascii="Times New Roman" w:hAnsi="Times New Roman"/>
          <w:sz w:val="22"/>
          <w:u w:val="single"/>
        </w:rPr>
        <w:t xml:space="preserve">if the </w:t>
      </w:r>
      <w:proofErr w:type="spellStart"/>
      <w:r w:rsidR="00612A5C" w:rsidRPr="00612A5C">
        <w:rPr>
          <w:rFonts w:ascii="Times New Roman" w:hAnsi="Times New Roman"/>
          <w:sz w:val="22"/>
          <w:u w:val="single"/>
        </w:rPr>
        <w:t>SCC’s</w:t>
      </w:r>
      <w:proofErr w:type="spellEnd"/>
      <w:r w:rsidR="00612A5C" w:rsidRPr="00612A5C">
        <w:rPr>
          <w:rFonts w:ascii="Times New Roman" w:hAnsi="Times New Roman"/>
          <w:sz w:val="22"/>
          <w:u w:val="single"/>
        </w:rPr>
        <w:t xml:space="preserve"> record as constitutional umpire does nothing else, it at least establishes the Court’s claim to legitimacy in this role</w:t>
      </w:r>
      <w:r w:rsidR="00612A5C">
        <w:rPr>
          <w:rFonts w:ascii="Times New Roman" w:hAnsi="Times New Roman"/>
          <w:sz w:val="22"/>
        </w:rPr>
        <w:t>.</w:t>
      </w:r>
    </w:p>
    <w:p w:rsidR="00F10297" w:rsidRDefault="0018289F" w:rsidP="0018289F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F10297" w:rsidRPr="00F10297" w:rsidRDefault="00F10297" w:rsidP="00F1029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10297">
        <w:rPr>
          <w:rFonts w:ascii="Times New Roman" w:hAnsi="Times New Roman"/>
          <w:sz w:val="22"/>
        </w:rPr>
        <w:t xml:space="preserve">JCPC clearly had a </w:t>
      </w:r>
      <w:r w:rsidRPr="00F10297">
        <w:rPr>
          <w:rFonts w:ascii="Times New Roman" w:hAnsi="Times New Roman"/>
          <w:sz w:val="22"/>
          <w:u w:val="single"/>
        </w:rPr>
        <w:t>significantly decentralizing</w:t>
      </w:r>
      <w:r w:rsidRPr="00F10297">
        <w:rPr>
          <w:rFonts w:ascii="Times New Roman" w:hAnsi="Times New Roman"/>
          <w:sz w:val="22"/>
        </w:rPr>
        <w:t xml:space="preserve"> effect on federation though scholars differ with respect to whether this was a good/bad thing</w:t>
      </w:r>
    </w:p>
    <w:p w:rsidR="00F10297" w:rsidRDefault="00F10297" w:rsidP="00F1029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Conventional wisdom in English Canada largely views it that the JCPC reversed the decisions of the Fathers of Confederation, while French Canada (and Russell) believe that the Confed</w:t>
      </w:r>
      <w:r w:rsidR="00595067">
        <w:rPr>
          <w:rFonts w:ascii="Times New Roman" w:hAnsi="Times New Roman"/>
          <w:sz w:val="22"/>
        </w:rPr>
        <w:t>eration coalition harbo</w:t>
      </w:r>
      <w:r>
        <w:rPr>
          <w:rFonts w:ascii="Times New Roman" w:hAnsi="Times New Roman"/>
          <w:sz w:val="22"/>
        </w:rPr>
        <w:t>red a very complex and at times contradictory amalgam of hopes/fears for Canada</w:t>
      </w:r>
    </w:p>
    <w:p w:rsidR="00F10297" w:rsidRDefault="00F10297" w:rsidP="00F1029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An appraisal of the SCC in federation sees 2 types of consequences that flow from its decisions: (1) the effect of decisions on the legal powers of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; and (2) the effect of decisions on political (as opposed to legal) consequences. </w:t>
      </w:r>
    </w:p>
    <w:p w:rsidR="00F10297" w:rsidRDefault="004B230C" w:rsidP="00F1029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4B230C">
        <w:rPr>
          <w:rFonts w:ascii="Times New Roman" w:hAnsi="Times New Roman"/>
          <w:sz w:val="22"/>
          <w:u w:val="single"/>
        </w:rPr>
        <w:t>Legal Re</w:t>
      </w:r>
      <w:r w:rsidR="00F10297" w:rsidRPr="004B230C">
        <w:rPr>
          <w:rFonts w:ascii="Times New Roman" w:hAnsi="Times New Roman"/>
          <w:sz w:val="22"/>
          <w:u w:val="single"/>
        </w:rPr>
        <w:t>sults</w:t>
      </w:r>
      <w:r w:rsidR="00F10297">
        <w:rPr>
          <w:rFonts w:ascii="Times New Roman" w:hAnsi="Times New Roman"/>
          <w:sz w:val="22"/>
        </w:rPr>
        <w:t xml:space="preserve">: Russell argues that the overall record shows an “uncanny balance” – in so many areas the net outcome of its decision-making is to strike a balance btw federal and provincial powers. With POGG, the SCC has balanced what it conceded to the central </w:t>
      </w:r>
      <w:proofErr w:type="spellStart"/>
      <w:r w:rsidR="00F10297">
        <w:rPr>
          <w:rFonts w:ascii="Times New Roman" w:hAnsi="Times New Roman"/>
          <w:sz w:val="22"/>
        </w:rPr>
        <w:t>govt</w:t>
      </w:r>
      <w:proofErr w:type="spellEnd"/>
      <w:r w:rsidR="00F10297">
        <w:rPr>
          <w:rFonts w:ascii="Times New Roman" w:hAnsi="Times New Roman"/>
          <w:sz w:val="22"/>
        </w:rPr>
        <w:t xml:space="preserve"> with one hand by denying federal power or granting power to the provinces with the other</w:t>
      </w:r>
    </w:p>
    <w:p w:rsidR="00595067" w:rsidRDefault="004B230C" w:rsidP="00F1029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4B230C">
        <w:rPr>
          <w:rFonts w:ascii="Times New Roman" w:hAnsi="Times New Roman"/>
          <w:sz w:val="22"/>
          <w:u w:val="single"/>
        </w:rPr>
        <w:t>Political Effects</w:t>
      </w:r>
      <w:r>
        <w:rPr>
          <w:rFonts w:ascii="Times New Roman" w:hAnsi="Times New Roman"/>
          <w:sz w:val="22"/>
        </w:rPr>
        <w:t>:</w:t>
      </w:r>
      <w:r w:rsidR="00595067">
        <w:rPr>
          <w:rFonts w:ascii="Times New Roman" w:hAnsi="Times New Roman"/>
          <w:sz w:val="22"/>
        </w:rPr>
        <w:t xml:space="preserve"> It has sustained litigation as a significant phase of fed-</w:t>
      </w:r>
      <w:proofErr w:type="spellStart"/>
      <w:r w:rsidR="00595067">
        <w:rPr>
          <w:rFonts w:ascii="Times New Roman" w:hAnsi="Times New Roman"/>
          <w:sz w:val="22"/>
        </w:rPr>
        <w:t>prov</w:t>
      </w:r>
      <w:proofErr w:type="spellEnd"/>
      <w:r w:rsidR="00595067">
        <w:rPr>
          <w:rFonts w:ascii="Times New Roman" w:hAnsi="Times New Roman"/>
          <w:sz w:val="22"/>
        </w:rPr>
        <w:t xml:space="preserve"> relations. </w:t>
      </w:r>
    </w:p>
    <w:p w:rsidR="00595067" w:rsidRDefault="00595067" w:rsidP="00595067">
      <w:pPr>
        <w:pStyle w:val="ListParagraph"/>
        <w:numPr>
          <w:ilvl w:val="2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One might be tempted to suggest that because of the balance it has sustained that it has had no significant effect of IGR – this would be a mistake. </w:t>
      </w:r>
    </w:p>
    <w:p w:rsidR="00595067" w:rsidRDefault="00595067" w:rsidP="00595067">
      <w:pPr>
        <w:pStyle w:val="ListParagraph"/>
        <w:numPr>
          <w:ilvl w:val="2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Two types of policy/political effects:</w:t>
      </w:r>
    </w:p>
    <w:p w:rsidR="00595067" w:rsidRDefault="00595067" w:rsidP="00595067">
      <w:pPr>
        <w:pStyle w:val="ListParagraph"/>
        <w:numPr>
          <w:ilvl w:val="3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decision on the division of powers usually means that a particular stays on the books or is removed – this may have important implications for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policy (though not always – if a law is found </w:t>
      </w:r>
      <w:r>
        <w:rPr>
          <w:rFonts w:ascii="Times New Roman" w:hAnsi="Times New Roman"/>
          <w:i/>
          <w:sz w:val="22"/>
        </w:rPr>
        <w:t xml:space="preserve">ultra </w:t>
      </w:r>
      <w:proofErr w:type="spellStart"/>
      <w:r>
        <w:rPr>
          <w:rFonts w:ascii="Times New Roman" w:hAnsi="Times New Roman"/>
          <w:i/>
          <w:sz w:val="22"/>
        </w:rPr>
        <w:t>vires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may be able to draft a new/different law that achieves the same policy objectives)</w:t>
      </w:r>
    </w:p>
    <w:p w:rsidR="00595067" w:rsidRDefault="00595067" w:rsidP="00595067">
      <w:pPr>
        <w:pStyle w:val="ListParagraph"/>
        <w:numPr>
          <w:ilvl w:val="3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May effect the bargaining strength and position of </w:t>
      </w:r>
      <w:proofErr w:type="spellStart"/>
      <w:r>
        <w:rPr>
          <w:rFonts w:ascii="Times New Roman" w:hAnsi="Times New Roman"/>
          <w:sz w:val="22"/>
        </w:rPr>
        <w:t>gotvs</w:t>
      </w:r>
      <w:proofErr w:type="spellEnd"/>
      <w:r>
        <w:rPr>
          <w:rFonts w:ascii="Times New Roman" w:hAnsi="Times New Roman"/>
          <w:sz w:val="22"/>
        </w:rPr>
        <w:t xml:space="preserve"> in negotiating policy arrangements or constitutional change (i.e. </w:t>
      </w:r>
      <w:proofErr w:type="spellStart"/>
      <w:r>
        <w:rPr>
          <w:rFonts w:ascii="Times New Roman" w:hAnsi="Times New Roman"/>
          <w:sz w:val="22"/>
        </w:rPr>
        <w:t>Patriation</w:t>
      </w:r>
      <w:proofErr w:type="spellEnd"/>
      <w:r>
        <w:rPr>
          <w:rFonts w:ascii="Times New Roman" w:hAnsi="Times New Roman"/>
          <w:sz w:val="22"/>
        </w:rPr>
        <w:t xml:space="preserve"> Reference and Quebec Secession Reference would have this effect)</w:t>
      </w:r>
    </w:p>
    <w:p w:rsidR="0018289F" w:rsidRPr="00595067" w:rsidRDefault="00612A5C" w:rsidP="0059506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In recent years, </w:t>
      </w:r>
      <w:r w:rsidR="00595067">
        <w:rPr>
          <w:rFonts w:ascii="Times New Roman" w:hAnsi="Times New Roman"/>
          <w:sz w:val="22"/>
        </w:rPr>
        <w:t>SCC rulings on the division of powers have been more useful to the federal than to the provincial politicians in the struggle over constitutional change</w:t>
      </w:r>
    </w:p>
    <w:p w:rsidR="00612A5C" w:rsidRDefault="0018289F" w:rsidP="0018289F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</w:t>
      </w:r>
      <w:r w:rsidR="00612A5C">
        <w:rPr>
          <w:rFonts w:ascii="Times New Roman" w:hAnsi="Times New Roman"/>
          <w:b/>
          <w:sz w:val="22"/>
        </w:rPr>
        <w:t>n</w:t>
      </w:r>
    </w:p>
    <w:p w:rsidR="00612A5C" w:rsidRPr="00612A5C" w:rsidRDefault="00612A5C" w:rsidP="00612A5C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612A5C">
        <w:rPr>
          <w:rFonts w:ascii="Times New Roman" w:hAnsi="Times New Roman"/>
          <w:sz w:val="22"/>
        </w:rPr>
        <w:t>In 1958 J.A. Corry suggested that the SCC would soon be retired from “its post as supervisor of the federal balance in Canada” – however, this has not been the case</w:t>
      </w:r>
    </w:p>
    <w:p w:rsidR="00612A5C" w:rsidRDefault="00612A5C" w:rsidP="00612A5C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Corry was basking in glow of a cooperative federalism that did not endure. Provinces became more constitutionally aggressive than he anticipated</w:t>
      </w:r>
    </w:p>
    <w:p w:rsidR="00612A5C" w:rsidRDefault="00612A5C" w:rsidP="00612A5C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If asked to explain why Corry was wrong, Russell would be inclined to suggest that a factor extraneous to fed-</w:t>
      </w:r>
      <w:proofErr w:type="spellStart"/>
      <w:r>
        <w:rPr>
          <w:rFonts w:ascii="Times New Roman" w:hAnsi="Times New Roman"/>
          <w:sz w:val="22"/>
        </w:rPr>
        <w:t>prov</w:t>
      </w:r>
      <w:proofErr w:type="spellEnd"/>
      <w:r>
        <w:rPr>
          <w:rFonts w:ascii="Times New Roman" w:hAnsi="Times New Roman"/>
          <w:sz w:val="22"/>
        </w:rPr>
        <w:t xml:space="preserve"> relations (a general increase in litigiousness) is to blame</w:t>
      </w:r>
    </w:p>
    <w:p w:rsidR="0018289F" w:rsidRPr="00612A5C" w:rsidRDefault="00612A5C" w:rsidP="00612A5C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No doubt that the Charter will generate more cases than the division of powers, but those cases will not disappear</w:t>
      </w:r>
    </w:p>
    <w:p w:rsidR="0018289F" w:rsidRDefault="0018289F"/>
    <w:sectPr w:rsidR="0018289F" w:rsidSect="0018289F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07E0"/>
    <w:multiLevelType w:val="hybridMultilevel"/>
    <w:tmpl w:val="5A5E5D2A"/>
    <w:lvl w:ilvl="0" w:tplc="FB7088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289F"/>
    <w:rsid w:val="0018289F"/>
    <w:rsid w:val="004B230C"/>
    <w:rsid w:val="00595067"/>
    <w:rsid w:val="00612A5C"/>
    <w:rsid w:val="007C6116"/>
    <w:rsid w:val="00F1029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89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02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72</Words>
  <Characters>414</Characters>
  <Application>Microsoft Macintosh Word</Application>
  <DocSecurity>0</DocSecurity>
  <Lines>3</Lines>
  <Paragraphs>1</Paragraphs>
  <ScaleCrop>false</ScaleCrop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dcterms:created xsi:type="dcterms:W3CDTF">2012-05-04T19:56:00Z</dcterms:created>
  <dcterms:modified xsi:type="dcterms:W3CDTF">2012-05-04T21:25:00Z</dcterms:modified>
</cp:coreProperties>
</file>